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580" w:lineRule="exact"/>
        <w:keepLines/>
        <w:snapToGrid w:val="0"/>
      </w:pPr>
      <w:r>
        <w:rPr>
          <w:rFonts w:ascii="Noto Sans CJK SC" w:hAnsi="Noto Sans CJK SC" w:eastAsia="Noto Sans CJK SC"/>
          <w:b/>
          <w:i w:val="0"/>
          <w:color w:val="183153"/>
          <w:sz w:val="42"/>
        </w:rPr>
        <w:t>程昼野</w:t>
      </w:r>
      <w:r>
        <w:rPr>
          <w:rFonts w:ascii="Noto Sans CJK SC" w:hAnsi="Noto Sans CJK SC" w:eastAsia="Noto Sans CJK SC"/>
          <w:b/>
          <w:i w:val="0"/>
          <w:color w:val="2563EB"/>
          <w:sz w:val="22"/>
        </w:rPr>
        <w:t xml:space="preserve">   AI 原生全栈工程师 / AI Agent 应用开发工程师</w:t>
      </w:r>
    </w:p>
    <w:p>
      <w:pPr>
        <w:spacing w:before="0" w:after="30" w:line="280" w:lineRule="exact"/>
        <w:keepLines/>
        <w:pBdr>
          <w:bottom w:val="single" w:sz="12" w:space="5" w:color="183153"/>
        </w:pBdr>
        <w:snapToGrid w:val="0"/>
      </w:pPr>
      <w:r>
        <w:rPr>
          <w:rFonts w:ascii="Noto Sans CJK SC" w:hAnsi="Noto Sans CJK SC" w:eastAsia="Noto Sans CJK SC"/>
          <w:b w:val="0"/>
          <w:i w:val="0"/>
          <w:color w:val="1F2937"/>
          <w:sz w:val="18"/>
        </w:rPr>
        <w:t>中国 · 湖北</w:t>
      </w:r>
      <w:r>
        <w:rPr>
          <w:rFonts w:ascii="Noto Sans CJK SC" w:hAnsi="Noto Sans CJK SC" w:eastAsia="Noto Sans CJK SC"/>
          <w:b w:val="0"/>
          <w:i w:val="0"/>
          <w:color w:val="5B677A"/>
          <w:sz w:val="18"/>
        </w:rPr>
        <w:t xml:space="preserve">  |  </w:t>
      </w:r>
      <w:r>
        <w:rPr>
          <w:rFonts w:ascii="Noto Sans CJK SC" w:hAnsi="Noto Sans CJK SC" w:eastAsia="Noto Sans CJK SC"/>
          <w:b w:val="0"/>
          <w:i w:val="0"/>
          <w:color w:val="1F2937"/>
          <w:sz w:val="18"/>
        </w:rPr>
        <w:t>19171205010</w:t>
      </w:r>
      <w:r>
        <w:rPr>
          <w:rFonts w:ascii="Noto Sans CJK SC" w:hAnsi="Noto Sans CJK SC" w:eastAsia="Noto Sans CJK SC"/>
          <w:b w:val="0"/>
          <w:i w:val="0"/>
          <w:color w:val="5B677A"/>
          <w:sz w:val="18"/>
        </w:rPr>
        <w:t xml:space="preserve">  |  </w:t>
      </w:r>
      <w:r>
        <w:rPr>
          <w:rFonts w:ascii="Noto Sans CJK SC" w:hAnsi="Noto Sans CJK SC" w:eastAsia="Noto Sans CJK SC"/>
          <w:b w:val="0"/>
          <w:i w:val="0"/>
          <w:color w:val="1F2937"/>
          <w:sz w:val="18"/>
        </w:rPr>
        <w:t>zeyven@163.com</w:t>
      </w:r>
      <w:r>
        <w:rPr>
          <w:rFonts w:ascii="Noto Sans CJK SC" w:hAnsi="Noto Sans CJK SC" w:eastAsia="Noto Sans CJK SC"/>
          <w:b w:val="0"/>
          <w:i w:val="0"/>
          <w:color w:val="5B677A"/>
          <w:sz w:val="18"/>
        </w:rPr>
        <w:t>作品：</w:t>
      </w:r>
      <w:hyperlink r:id="rId9">
        <w:r>
          <w:rPr>
            <w:color w:val="2563EB"/>
            <w:u w:val="none"/>
            <w:sz w:val="18"/>
            <w:rFonts w:ascii="Noto Sans CJK SC" w:hAnsi="Noto Sans CJK SC" w:eastAsia="Noto Sans CJK SC"/>
          </w:rPr>
          <w:t>zephael.cn</w:t>
        </w:r>
      </w:hyperlink>
      <w:r>
        <w:rPr>
          <w:rFonts w:ascii="Noto Sans CJK SC" w:hAnsi="Noto Sans CJK SC" w:eastAsia="Noto Sans CJK SC"/>
          <w:b w:val="0"/>
          <w:i w:val="0"/>
          <w:color w:val="1F2937"/>
          <w:sz w:val="18"/>
        </w:rPr>
        <w:t xml:space="preserve">  |  到岗：协商  |  期望薪资：面议</w:t>
      </w:r>
    </w:p>
    <w:p>
      <w:pPr>
        <w:spacing w:before="120" w:after="60" w:line="280" w:lineRule="exact"/>
        <w:keepLines/>
        <w:keepNext/>
        <w:pBdr>
          <w:bottom w:val="single" w:sz="8" w:space="3" w:color="2563EB"/>
        </w:pBdr>
        <w:snapToGrid w:val="0"/>
      </w:pPr>
      <w:r>
        <w:rPr>
          <w:rFonts w:ascii="Noto Sans CJK SC" w:hAnsi="Noto Sans CJK SC" w:eastAsia="Noto Sans CJK SC"/>
          <w:b/>
          <w:i w:val="0"/>
          <w:color w:val="183153"/>
          <w:sz w:val="23"/>
        </w:rPr>
        <w:t>职业概述</w:t>
      </w:r>
    </w:p>
    <w:p>
      <w:pPr>
        <w:spacing w:before="0" w:after="20" w:line="280" w:lineRule="exact"/>
        <w:keepLines/>
        <w:snapToGrid w:val="0"/>
      </w:pPr>
      <w:r>
        <w:rPr>
          <w:rFonts w:ascii="Noto Sans CJK SC" w:hAnsi="Noto Sans CJK SC" w:eastAsia="Noto Sans CJK SC"/>
          <w:b w:val="0"/>
          <w:i w:val="0"/>
          <w:color w:val="1F2937"/>
          <w:sz w:val="19"/>
        </w:rPr>
        <w:t>AI 原生全栈工程师，现任襄阳汉江科算科技有限公司 AI 产品开发 / 全栈开发工程师，作为公司唯一技术开发者，独立承担 AI 产品从需求分析、产品设计、系统架构、前后端实现、模型接入、测试验证到上线迭代的完整生命周期。</w:t>
      </w:r>
    </w:p>
    <w:p>
      <w:pPr>
        <w:spacing w:before="0" w:after="10" w:line="280" w:lineRule="exact"/>
        <w:keepLines/>
        <w:snapToGrid w:val="0"/>
      </w:pPr>
      <w:r>
        <w:rPr>
          <w:rFonts w:ascii="Noto Sans CJK SC" w:hAnsi="Noto Sans CJK SC" w:eastAsia="Noto Sans CJK SC"/>
          <w:b w:val="0"/>
          <w:i w:val="0"/>
          <w:color w:val="1F2937"/>
          <w:sz w:val="19"/>
        </w:rPr>
        <w:t>擅长把非结构化业务需求转化为可执行、可追踪、可复用的软件工作流，并使用 Codex、Claude Code、Cursor 构建 AI-Native 研发流程；对最终架构、代码质量、测试结果与交付负责，而非仅依赖模型生成代码。</w:t>
      </w:r>
    </w:p>
    <w:p>
      <w:pPr>
        <w:spacing w:before="120" w:after="60" w:line="280" w:lineRule="exact"/>
        <w:keepLines/>
        <w:keepNext/>
        <w:pBdr>
          <w:bottom w:val="single" w:sz="8" w:space="3" w:color="2563EB"/>
        </w:pBdr>
        <w:snapToGrid w:val="0"/>
      </w:pPr>
      <w:r>
        <w:rPr>
          <w:rFonts w:ascii="Noto Sans CJK SC" w:hAnsi="Noto Sans CJK SC" w:eastAsia="Noto Sans CJK SC"/>
          <w:b/>
          <w:i w:val="0"/>
          <w:color w:val="183153"/>
          <w:sz w:val="23"/>
        </w:rPr>
        <w:t>核心能力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701"/>
        <w:gridCol w:w="8391"/>
      </w:tblGrid>
      <w:tr>
        <w:tc>
          <w:tcPr>
            <w:tcW w:type="dxa" w:w="5074"/>
            <w:tcMar>
              <w:top w:w="20" w:type="dxa"/>
              <w:start w:w="0" w:type="dxa"/>
              <w:bottom w:w="20" w:type="dxa"/>
              <w:end w:w="0" w:type="dxa"/>
            </w:tcMar>
          </w:tcPr>
          <w:p>
            <w:pPr>
              <w:spacing w:before="0" w:after="0" w:line="280" w:lineRule="exact"/>
              <w:keepLines/>
              <w:snapToGrid w:val="0"/>
            </w:pPr>
            <w:r>
              <w:rPr>
                <w:rFonts w:ascii="Noto Sans CJK SC" w:hAnsi="Noto Sans CJK SC" w:eastAsia="Noto Sans CJK SC"/>
                <w:b/>
                <w:i w:val="0"/>
                <w:color w:val="183153"/>
                <w:sz w:val="18"/>
              </w:rPr>
              <w:t>AI 应用工程</w:t>
            </w:r>
          </w:p>
        </w:tc>
        <w:tc>
          <w:tcPr>
            <w:tcW w:type="dxa" w:w="5074"/>
            <w:tcMar>
              <w:top w:w="20" w:type="dxa"/>
              <w:start w:w="0" w:type="dxa"/>
              <w:bottom w:w="20" w:type="dxa"/>
              <w:end w:w="0" w:type="dxa"/>
            </w:tcMar>
          </w:tcPr>
          <w:p>
            <w:pPr>
              <w:spacing w:before="0" w:after="0" w:line="280" w:lineRule="exact"/>
              <w:keepLines/>
              <w:snapToGrid w:val="0"/>
            </w:pPr>
            <w:r>
              <w:rPr>
                <w:rFonts w:ascii="Noto Sans CJK SC" w:hAnsi="Noto Sans CJK SC" w:eastAsia="Noto Sans CJK SC"/>
                <w:b w:val="0"/>
                <w:i w:val="0"/>
                <w:color w:val="1F2937"/>
                <w:sz w:val="18"/>
              </w:rPr>
              <w:t>LLM / 多模态模型接入、Agent / Skill 工作流、Prompt Engineering、结构化输出、上下文治理、模型路由与降级设计、评测与执行追踪。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701"/>
        <w:gridCol w:w="8391"/>
      </w:tblGrid>
      <w:tr>
        <w:tc>
          <w:tcPr>
            <w:tcW w:type="dxa" w:w="5074"/>
            <w:tcMar>
              <w:top w:w="20" w:type="dxa"/>
              <w:start w:w="0" w:type="dxa"/>
              <w:bottom w:w="20" w:type="dxa"/>
              <w:end w:w="0" w:type="dxa"/>
            </w:tcMar>
          </w:tcPr>
          <w:p>
            <w:pPr>
              <w:spacing w:before="0" w:after="0" w:line="280" w:lineRule="exact"/>
              <w:keepLines/>
              <w:snapToGrid w:val="0"/>
            </w:pPr>
            <w:r>
              <w:rPr>
                <w:rFonts w:ascii="Noto Sans CJK SC" w:hAnsi="Noto Sans CJK SC" w:eastAsia="Noto Sans CJK SC"/>
                <w:b/>
                <w:i w:val="0"/>
                <w:color w:val="183153"/>
                <w:sz w:val="18"/>
              </w:rPr>
              <w:t>全栈交付</w:t>
            </w:r>
          </w:p>
        </w:tc>
        <w:tc>
          <w:tcPr>
            <w:tcW w:type="dxa" w:w="5074"/>
            <w:tcMar>
              <w:top w:w="20" w:type="dxa"/>
              <w:start w:w="0" w:type="dxa"/>
              <w:bottom w:w="20" w:type="dxa"/>
              <w:end w:w="0" w:type="dxa"/>
            </w:tcMar>
          </w:tcPr>
          <w:p>
            <w:pPr>
              <w:spacing w:before="0" w:after="0" w:line="280" w:lineRule="exact"/>
              <w:keepLines/>
              <w:snapToGrid w:val="0"/>
            </w:pPr>
            <w:r>
              <w:rPr>
                <w:rFonts w:ascii="Noto Sans CJK SC" w:hAnsi="Noto Sans CJK SC" w:eastAsia="Noto Sans CJK SC"/>
                <w:b w:val="0"/>
                <w:i w:val="0"/>
                <w:color w:val="1F2937"/>
                <w:sz w:val="18"/>
              </w:rPr>
              <w:t>需求与产品设计、UI/UX、前后端开发、API 与数据建模、异步任务、状态恢复、权限与错误处理、测试验证、部署与技术文档。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701"/>
        <w:gridCol w:w="8391"/>
      </w:tblGrid>
      <w:tr>
        <w:tc>
          <w:tcPr>
            <w:tcW w:type="dxa" w:w="5074"/>
            <w:tcMar>
              <w:top w:w="20" w:type="dxa"/>
              <w:start w:w="0" w:type="dxa"/>
              <w:bottom w:w="20" w:type="dxa"/>
              <w:end w:w="0" w:type="dxa"/>
            </w:tcMar>
          </w:tcPr>
          <w:p>
            <w:pPr>
              <w:spacing w:before="0" w:after="0" w:line="280" w:lineRule="exact"/>
              <w:keepLines/>
              <w:snapToGrid w:val="0"/>
            </w:pPr>
            <w:r>
              <w:rPr>
                <w:rFonts w:ascii="Noto Sans CJK SC" w:hAnsi="Noto Sans CJK SC" w:eastAsia="Noto Sans CJK SC"/>
                <w:b/>
                <w:i w:val="0"/>
                <w:color w:val="183153"/>
                <w:sz w:val="18"/>
              </w:rPr>
              <w:t>AI Coding</w:t>
            </w:r>
          </w:p>
        </w:tc>
        <w:tc>
          <w:tcPr>
            <w:tcW w:type="dxa" w:w="5074"/>
            <w:tcMar>
              <w:top w:w="20" w:type="dxa"/>
              <w:start w:w="0" w:type="dxa"/>
              <w:bottom w:w="20" w:type="dxa"/>
              <w:end w:w="0" w:type="dxa"/>
            </w:tcMar>
          </w:tcPr>
          <w:p>
            <w:pPr>
              <w:spacing w:before="0" w:after="0" w:line="280" w:lineRule="exact"/>
              <w:keepLines/>
              <w:snapToGrid w:val="0"/>
            </w:pPr>
            <w:r>
              <w:rPr>
                <w:rFonts w:ascii="Noto Sans CJK SC" w:hAnsi="Noto Sans CJK SC" w:eastAsia="Noto Sans CJK SC"/>
                <w:b w:val="0"/>
                <w:i w:val="0"/>
                <w:color w:val="1F2937"/>
                <w:sz w:val="18"/>
              </w:rPr>
              <w:t>Codex、Claude Code、Cursor；先定义范围与验收标准，再拆解任务、实现、审查、测试和交付，保持架构与产品语义一致。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701"/>
        <w:gridCol w:w="8391"/>
      </w:tblGrid>
      <w:tr>
        <w:tc>
          <w:tcPr>
            <w:tcW w:type="dxa" w:w="5074"/>
            <w:tcMar>
              <w:top w:w="20" w:type="dxa"/>
              <w:start w:w="0" w:type="dxa"/>
              <w:bottom w:w="20" w:type="dxa"/>
              <w:end w:w="0" w:type="dxa"/>
            </w:tcMar>
          </w:tcPr>
          <w:p>
            <w:pPr>
              <w:spacing w:before="0" w:after="0" w:line="280" w:lineRule="exact"/>
              <w:keepLines/>
              <w:snapToGrid w:val="0"/>
            </w:pPr>
            <w:r>
              <w:rPr>
                <w:rFonts w:ascii="Noto Sans CJK SC" w:hAnsi="Noto Sans CJK SC" w:eastAsia="Noto Sans CJK SC"/>
                <w:b/>
                <w:i w:val="0"/>
                <w:color w:val="183153"/>
                <w:sz w:val="18"/>
              </w:rPr>
              <w:t>跨专业优势</w:t>
            </w:r>
          </w:p>
        </w:tc>
        <w:tc>
          <w:tcPr>
            <w:tcW w:type="dxa" w:w="5074"/>
            <w:tcMar>
              <w:top w:w="20" w:type="dxa"/>
              <w:start w:w="0" w:type="dxa"/>
              <w:bottom w:w="20" w:type="dxa"/>
              <w:end w:w="0" w:type="dxa"/>
            </w:tcMar>
          </w:tcPr>
          <w:p>
            <w:pPr>
              <w:spacing w:before="0" w:after="0" w:line="280" w:lineRule="exact"/>
              <w:keepLines/>
              <w:snapToGrid w:val="0"/>
            </w:pPr>
            <w:r>
              <w:rPr>
                <w:rFonts w:ascii="Noto Sans CJK SC" w:hAnsi="Noto Sans CJK SC" w:eastAsia="Noto Sans CJK SC"/>
                <w:b w:val="0"/>
                <w:i w:val="0"/>
                <w:color w:val="1F2937"/>
                <w:sz w:val="18"/>
              </w:rPr>
              <w:t>建筑钢结构训练形成的结构化建模、规范执行、节点约束、质量验收与现场问题拆解能力，迁移到软件系统设计和工程交付。</w:t>
            </w:r>
          </w:p>
        </w:tc>
      </w:tr>
    </w:tbl>
    <w:p>
      <w:pPr>
        <w:spacing w:before="120" w:after="60" w:line="280" w:lineRule="exact"/>
        <w:keepLines/>
        <w:keepNext/>
        <w:pBdr>
          <w:bottom w:val="single" w:sz="8" w:space="3" w:color="2563EB"/>
        </w:pBdr>
        <w:snapToGrid w:val="0"/>
      </w:pPr>
      <w:r>
        <w:rPr>
          <w:rFonts w:ascii="Noto Sans CJK SC" w:hAnsi="Noto Sans CJK SC" w:eastAsia="Noto Sans CJK SC"/>
          <w:b/>
          <w:i w:val="0"/>
          <w:color w:val="183153"/>
          <w:sz w:val="23"/>
        </w:rPr>
        <w:t>工作经历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7710"/>
        <w:gridCol w:w="2381"/>
      </w:tblGrid>
      <w:tr>
        <w:tc>
          <w:tcPr>
            <w:tcW w:type="dxa" w:w="5074"/>
            <w:tcMar>
              <w:top w:w="10" w:type="dxa"/>
              <w:start w:w="0" w:type="dxa"/>
              <w:bottom w:w="10" w:type="dxa"/>
              <w:end w:w="0" w:type="dxa"/>
            </w:tcMar>
            <w:vAlign w:val="center"/>
          </w:tcPr>
          <w:p>
            <w:pPr>
              <w:spacing w:before="0" w:after="0" w:line="280" w:lineRule="exact"/>
              <w:keepLines/>
              <w:keepNext/>
              <w:snapToGrid w:val="0"/>
            </w:pPr>
            <w:r>
              <w:rPr>
                <w:rFonts w:ascii="Noto Sans CJK SC" w:hAnsi="Noto Sans CJK SC" w:eastAsia="Noto Sans CJK SC"/>
                <w:b/>
                <w:i w:val="0"/>
                <w:color w:val="1F2937"/>
                <w:sz w:val="20"/>
              </w:rPr>
              <w:t>襄阳汉江科算科技有限公司</w:t>
            </w:r>
            <w:r>
              <w:rPr>
                <w:rFonts w:ascii="Noto Sans CJK SC" w:hAnsi="Noto Sans CJK SC" w:eastAsia="Noto Sans CJK SC"/>
                <w:b/>
                <w:i w:val="0"/>
                <w:color w:val="2563EB"/>
                <w:sz w:val="19"/>
              </w:rPr>
              <w:t>｜AI 产品开发 / 全栈开发工程师（唯一技术开发者）</w:t>
            </w:r>
          </w:p>
          <w:p>
            <w:pPr>
              <w:spacing w:before="0" w:after="20" w:line="280" w:lineRule="exact"/>
              <w:keepLines/>
              <w:keepNext/>
              <w:snapToGrid w:val="0"/>
            </w:pPr>
            <w:r>
              <w:rPr>
                <w:rFonts w:ascii="Noto Sans CJK SC" w:hAnsi="Noto Sans CJK SC" w:eastAsia="Noto Sans CJK SC"/>
                <w:b w:val="0"/>
                <w:i w:val="0"/>
                <w:color w:val="5B677A"/>
                <w:sz w:val="17"/>
              </w:rPr>
              <w:t>中国 · 湖北</w:t>
            </w:r>
          </w:p>
        </w:tc>
        <w:tc>
          <w:tcPr>
            <w:tcW w:type="dxa" w:w="5074"/>
            <w:tcMar>
              <w:top w:w="10" w:type="dxa"/>
              <w:start w:w="0" w:type="dxa"/>
              <w:bottom w:w="10" w:type="dxa"/>
              <w:end w:w="0" w:type="dxa"/>
            </w:tcMar>
            <w:vAlign w:val="center"/>
          </w:tcPr>
          <w:p>
            <w:pPr>
              <w:spacing w:before="0" w:after="0" w:line="280" w:lineRule="exact"/>
              <w:jc w:val="right"/>
              <w:keepLines/>
              <w:keepNext/>
              <w:snapToGrid w:val="0"/>
            </w:pPr>
            <w:r>
              <w:rPr>
                <w:rFonts w:ascii="Noto Sans CJK SC" w:hAnsi="Noto Sans CJK SC" w:eastAsia="Noto Sans CJK SC"/>
                <w:b/>
                <w:i w:val="0"/>
                <w:color w:val="1F2937"/>
                <w:sz w:val="19"/>
              </w:rPr>
              <w:t>2026.04 - 至今</w:t>
            </w:r>
          </w:p>
        </w:tc>
      </w:tr>
    </w:tbl>
    <w:p>
      <w:pPr>
        <w:pStyle w:val="ListBullet"/>
        <w:spacing w:before="0" w:after="22" w:line="280" w:lineRule="exact"/>
        <w:ind w:left="312" w:hanging="159"/>
        <w:keepLines/>
        <w:snapToGrid w:val="0"/>
      </w:pPr>
      <w:r>
        <w:rPr>
          <w:rFonts w:ascii="Noto Sans CJK SC" w:hAnsi="Noto Sans CJK SC" w:eastAsia="Noto Sans CJK SC"/>
          <w:b w:val="0"/>
          <w:i w:val="0"/>
          <w:color w:val="1F2937"/>
          <w:sz w:val="19"/>
        </w:rPr>
        <w:t>筹备期加入团队并独立承担公司全部技术研发工作，覆盖产品规划、技术选型、系统架构、UI/UX、前后端、AI 能力集成、测试、部署与持续迭代。</w:t>
      </w:r>
    </w:p>
    <w:p>
      <w:pPr>
        <w:pStyle w:val="ListBullet"/>
        <w:spacing w:before="0" w:after="22" w:line="280" w:lineRule="exact"/>
        <w:ind w:left="312" w:hanging="159"/>
        <w:keepLines/>
        <w:snapToGrid w:val="0"/>
      </w:pPr>
      <w:r>
        <w:rPr>
          <w:rFonts w:ascii="Noto Sans CJK SC" w:hAnsi="Noto Sans CJK SC" w:eastAsia="Noto Sans CJK SC"/>
          <w:b w:val="0"/>
          <w:i w:val="0"/>
          <w:color w:val="1F2937"/>
          <w:sz w:val="19"/>
        </w:rPr>
        <w:t>建设专业影视 AI 创作工作台和 AI 创作平台，将剧本策划、分镜设计、角色/场景/道具资产、Prompt、图像与视频生成串联为连续生产流程。</w:t>
      </w:r>
    </w:p>
    <w:p>
      <w:pPr>
        <w:pStyle w:val="ListBullet"/>
        <w:spacing w:before="0" w:after="22" w:line="280" w:lineRule="exact"/>
        <w:ind w:left="312" w:hanging="159"/>
        <w:keepLines/>
        <w:snapToGrid w:val="0"/>
      </w:pPr>
      <w:r>
        <w:rPr>
          <w:rFonts w:ascii="Noto Sans CJK SC" w:hAnsi="Noto Sans CJK SC" w:eastAsia="Noto Sans CJK SC"/>
          <w:b w:val="0"/>
          <w:i w:val="0"/>
          <w:color w:val="1F2937"/>
          <w:sz w:val="19"/>
        </w:rPr>
        <w:t>围绕 Project、Asset、Generation、Media / Version 建立结构化业务关系，处理长耗时生成任务、状态恢复、历史记录、失败重试、重复提交与成果归档。</w:t>
      </w:r>
    </w:p>
    <w:p>
      <w:pPr>
        <w:pStyle w:val="ListBullet"/>
        <w:spacing w:before="0" w:after="22" w:line="280" w:lineRule="exact"/>
        <w:ind w:left="312" w:hanging="159"/>
        <w:keepLines/>
        <w:snapToGrid w:val="0"/>
      </w:pPr>
      <w:r>
        <w:rPr>
          <w:rFonts w:ascii="Noto Sans CJK SC" w:hAnsi="Noto Sans CJK SC" w:eastAsia="Noto Sans CJK SC"/>
          <w:b w:val="0"/>
          <w:i w:val="0"/>
          <w:color w:val="1F2937"/>
          <w:sz w:val="19"/>
        </w:rPr>
        <w:t>设计 Agent / Skill、Prompt 模板、Shot Contract、模型适配与质量验收机制，使创作规则从聊天描述转化为可复用、可评测的工程资产。</w:t>
      </w:r>
    </w:p>
    <w:p>
      <w:pPr>
        <w:pStyle w:val="ListBullet"/>
        <w:spacing w:before="0" w:after="22" w:line="280" w:lineRule="exact"/>
        <w:ind w:left="312" w:hanging="159"/>
        <w:keepLines/>
        <w:snapToGrid w:val="0"/>
      </w:pPr>
      <w:r>
        <w:rPr>
          <w:rFonts w:ascii="Noto Sans CJK SC" w:hAnsi="Noto Sans CJK SC" w:eastAsia="Noto Sans CJK SC"/>
          <w:b w:val="0"/>
          <w:i w:val="0"/>
          <w:color w:val="1F2937"/>
          <w:sz w:val="19"/>
        </w:rPr>
        <w:t>建立 Codex / Claude Code / Cursor 驱动的 AI-Native 研发流程；本人负责需求判断、架构决策、代码审查、问题定位、测试验证和最终交付。</w:t>
      </w:r>
    </w:p>
    <w:p>
      <w:pPr>
        <w:spacing w:before="120" w:after="60" w:line="280" w:lineRule="exact"/>
        <w:keepLines/>
        <w:keepNext/>
        <w:pBdr>
          <w:bottom w:val="single" w:sz="8" w:space="3" w:color="2563EB"/>
        </w:pBdr>
        <w:snapToGrid w:val="0"/>
      </w:pPr>
      <w:r>
        <w:rPr>
          <w:rFonts w:ascii="Noto Sans CJK SC" w:hAnsi="Noto Sans CJK SC" w:eastAsia="Noto Sans CJK SC"/>
          <w:b/>
          <w:i w:val="0"/>
          <w:color w:val="183153"/>
          <w:sz w:val="23"/>
        </w:rPr>
        <w:t>代表项目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8220"/>
        <w:gridCol w:w="1871"/>
      </w:tblGrid>
      <w:tr>
        <w:tc>
          <w:tcPr>
            <w:tcW w:type="dxa" w:w="5074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pPr>
              <w:spacing w:before="0" w:after="0" w:line="280" w:lineRule="exact"/>
              <w:keepLines/>
              <w:keepNext/>
              <w:snapToGrid w:val="0"/>
            </w:pPr>
            <w:r>
              <w:rPr>
                <w:rFonts w:ascii="Noto Sans CJK SC" w:hAnsi="Noto Sans CJK SC" w:eastAsia="Noto Sans CJK SC"/>
                <w:b/>
                <w:i w:val="0"/>
                <w:color w:val="1F2937"/>
                <w:sz w:val="20"/>
              </w:rPr>
              <w:t>汉江科算专业影视 AI 创作工作台</w:t>
            </w:r>
            <w:r>
              <w:rPr>
                <w:rFonts w:ascii="Noto Sans CJK SC" w:hAnsi="Noto Sans CJK SC" w:eastAsia="Noto Sans CJK SC"/>
                <w:b w:val="0"/>
                <w:i w:val="0"/>
                <w:color w:val="5B677A"/>
                <w:sz w:val="17"/>
              </w:rPr>
              <w:t>｜AI Workflow · Asset Management · Multimodal AIGC</w:t>
            </w:r>
          </w:p>
        </w:tc>
        <w:tc>
          <w:tcPr>
            <w:tcW w:type="dxa" w:w="5074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pPr>
              <w:spacing w:before="0" w:after="0" w:line="280" w:lineRule="exact"/>
              <w:jc w:val="right"/>
              <w:keepLines/>
              <w:keepNext/>
              <w:snapToGrid w:val="0"/>
            </w:pPr>
            <w:r>
              <w:rPr>
                <w:rFonts w:ascii="Noto Sans CJK SC" w:hAnsi="Noto Sans CJK SC" w:eastAsia="Noto Sans CJK SC"/>
                <w:b/>
                <w:i w:val="0"/>
                <w:color w:val="2563EB"/>
                <w:sz w:val="17"/>
              </w:rPr>
              <w:t>公开产品 / 持续迭代</w:t>
            </w:r>
          </w:p>
        </w:tc>
      </w:tr>
    </w:tbl>
    <w:p>
      <w:pPr>
        <w:pStyle w:val="ListBullet"/>
        <w:spacing w:before="0" w:after="22" w:line="280" w:lineRule="exact"/>
        <w:ind w:left="312" w:hanging="159"/>
        <w:keepLines/>
        <w:snapToGrid w:val="0"/>
      </w:pPr>
      <w:r>
        <w:rPr>
          <w:rFonts w:ascii="Noto Sans CJK SC" w:hAnsi="Noto Sans CJK SC" w:eastAsia="Noto Sans CJK SC"/>
          <w:b w:val="0"/>
          <w:i w:val="0"/>
          <w:color w:val="1F2937"/>
          <w:sz w:val="19"/>
        </w:rPr>
        <w:t>面向影视 AIGC 创作，将分散在聊天、文档和多个模型平台中的工作过程统一为可追踪、可归档、可复用的项目化生产链路。</w:t>
      </w:r>
    </w:p>
    <w:p>
      <w:pPr>
        <w:pStyle w:val="ListBullet"/>
        <w:spacing w:before="0" w:after="22" w:line="280" w:lineRule="exact"/>
        <w:ind w:left="312" w:hanging="159"/>
        <w:keepLines/>
        <w:snapToGrid w:val="0"/>
      </w:pPr>
      <w:r>
        <w:rPr>
          <w:rFonts w:ascii="Noto Sans CJK SC" w:hAnsi="Noto Sans CJK SC" w:eastAsia="Noto Sans CJK SC"/>
          <w:b w:val="0"/>
          <w:i w:val="0"/>
          <w:color w:val="1F2937"/>
          <w:sz w:val="19"/>
        </w:rPr>
        <w:t>按剧本、分镜、资产、生成任务和媒体版本组织数据，避免刷新、跨页面或多轮生成后上下文丢失，并支持历史成果回看与复用。</w:t>
      </w:r>
    </w:p>
    <w:p>
      <w:pPr>
        <w:pStyle w:val="ListBullet"/>
        <w:spacing w:before="0" w:after="22" w:line="280" w:lineRule="exact"/>
        <w:ind w:left="312" w:hanging="159"/>
        <w:keepLines/>
        <w:snapToGrid w:val="0"/>
      </w:pPr>
      <w:r>
        <w:rPr>
          <w:rFonts w:ascii="Noto Sans CJK SC" w:hAnsi="Noto Sans CJK SC" w:eastAsia="Noto Sans CJK SC"/>
          <w:b w:val="0"/>
          <w:i w:val="0"/>
          <w:color w:val="1F2937"/>
          <w:sz w:val="19"/>
        </w:rPr>
        <w:t>将角色、场景、道具设为独立资产域，维护母版、版本、来源和适用镜头，降低角色漂移、场景污染与提示词重复维护。</w:t>
      </w:r>
    </w:p>
    <w:p>
      <w:pPr>
        <w:pStyle w:val="ListBullet"/>
        <w:spacing w:before="0" w:after="22" w:line="280" w:lineRule="exact"/>
        <w:ind w:left="312" w:hanging="159"/>
        <w:keepLines/>
        <w:snapToGrid w:val="0"/>
      </w:pPr>
      <w:r>
        <w:rPr>
          <w:rFonts w:ascii="Noto Sans CJK SC" w:hAnsi="Noto Sans CJK SC" w:eastAsia="Noto Sans CJK SC"/>
          <w:b w:val="0"/>
          <w:i w:val="0"/>
          <w:color w:val="1F2937"/>
          <w:sz w:val="19"/>
        </w:rPr>
        <w:t>对长耗时生成任务记录模型、输入、状态、错误、重试与结果，使失败可定位、任务可恢复、重复请求可识别。</w:t>
      </w:r>
    </w:p>
    <w:p>
      <w:pPr>
        <w:spacing w:before="0" w:after="20" w:line="280" w:lineRule="exact"/>
        <w:keepLines/>
        <w:snapToGrid w:val="0"/>
      </w:pPr>
      <w:r>
        <w:rPr>
          <w:rFonts w:ascii="Noto Sans CJK SC" w:hAnsi="Noto Sans CJK SC" w:eastAsia="Noto Sans CJK SC"/>
          <w:b/>
          <w:i w:val="0"/>
          <w:color w:val="5B677A"/>
          <w:sz w:val="18"/>
        </w:rPr>
        <w:t>公开验证：</w:t>
      </w:r>
      <w:hyperlink r:id="rId9">
        <w:r>
          <w:rPr>
            <w:color w:val="2563EB"/>
            <w:u w:val="single"/>
            <w:sz w:val="18"/>
            <w:rFonts w:ascii="Noto Sans CJK SC" w:hAnsi="Noto Sans CJK SC" w:eastAsia="Noto Sans CJK SC"/>
          </w:rPr>
          <w:t>https://zephael.cn/</w:t>
        </w:r>
      </w:hyperlink>
    </w:p>
    <w:p>
      <w:pPr>
        <w:keepLines/>
        <w:snapToGrid w:val="0"/>
        <w:spacing w:line="280" w:lineRule="exact"/>
      </w:pPr>
      <w:r/>
    </w:p>
    <w:p>
      <w:pPr>
        <w:spacing w:before="120" w:after="60" w:line="280" w:lineRule="exact"/>
        <w:keepLines/>
        <w:keepNext/>
        <w:pBdr>
          <w:bottom w:val="single" w:sz="8" w:space="3" w:color="2563EB"/>
        </w:pBdr>
        <w:snapToGrid w:val="0"/>
      </w:pPr>
      <w:r>
        <w:rPr>
          <w:rFonts w:ascii="Noto Sans CJK SC" w:hAnsi="Noto Sans CJK SC" w:eastAsia="Noto Sans CJK SC"/>
          <w:b/>
          <w:i w:val="0"/>
          <w:color w:val="183153"/>
          <w:sz w:val="23"/>
        </w:rPr>
        <w:t>代表项目（续）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8220"/>
        <w:gridCol w:w="1871"/>
      </w:tblGrid>
      <w:tr>
        <w:tc>
          <w:tcPr>
            <w:tcW w:type="dxa" w:w="5074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pPr>
              <w:spacing w:before="0" w:after="0" w:line="280" w:lineRule="exact"/>
              <w:keepLines/>
              <w:keepNext/>
              <w:snapToGrid w:val="0"/>
            </w:pPr>
            <w:r>
              <w:rPr>
                <w:rFonts w:ascii="Noto Sans CJK SC" w:hAnsi="Noto Sans CJK SC" w:eastAsia="Noto Sans CJK SC"/>
                <w:b/>
                <w:i w:val="0"/>
                <w:color w:val="1F2937"/>
                <w:sz w:val="20"/>
              </w:rPr>
              <w:t>Zephael Cinema Intelligence Skill</w:t>
            </w:r>
            <w:r>
              <w:rPr>
                <w:rFonts w:ascii="Noto Sans CJK SC" w:hAnsi="Noto Sans CJK SC" w:eastAsia="Noto Sans CJK SC"/>
                <w:b w:val="0"/>
                <w:i w:val="0"/>
                <w:color w:val="5B677A"/>
                <w:sz w:val="17"/>
              </w:rPr>
              <w:t>｜Agent Skill · Context Engineering · Evaluation</w:t>
            </w:r>
          </w:p>
        </w:tc>
        <w:tc>
          <w:tcPr>
            <w:tcW w:type="dxa" w:w="5074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pPr>
              <w:spacing w:before="0" w:after="0" w:line="280" w:lineRule="exact"/>
              <w:jc w:val="right"/>
              <w:keepLines/>
              <w:keepNext/>
              <w:snapToGrid w:val="0"/>
            </w:pPr>
            <w:r>
              <w:rPr>
                <w:rFonts w:ascii="Noto Sans CJK SC" w:hAnsi="Noto Sans CJK SC" w:eastAsia="Noto Sans CJK SC"/>
                <w:b/>
                <w:i w:val="0"/>
                <w:color w:val="2563EB"/>
                <w:sz w:val="17"/>
              </w:rPr>
              <w:t>能力资产</w:t>
            </w:r>
          </w:p>
        </w:tc>
      </w:tr>
    </w:tbl>
    <w:p>
      <w:pPr>
        <w:pStyle w:val="ListBullet"/>
        <w:spacing w:before="0" w:after="22" w:line="280" w:lineRule="exact"/>
        <w:ind w:left="312" w:hanging="159"/>
        <w:keepLines/>
        <w:snapToGrid w:val="0"/>
      </w:pPr>
      <w:r>
        <w:rPr>
          <w:rFonts w:ascii="Noto Sans CJK SC" w:hAnsi="Noto Sans CJK SC" w:eastAsia="Noto Sans CJK SC"/>
          <w:b w:val="0"/>
          <w:i w:val="0"/>
          <w:color w:val="1F2937"/>
          <w:sz w:val="19"/>
        </w:rPr>
        <w:t>将影视创作中的导演分析、剧本拆解、资产提取、镜头约束、Prompt 编译、模型适配和质量评估封装为可触发的 Agent 工作流。</w:t>
      </w:r>
    </w:p>
    <w:p>
      <w:pPr>
        <w:pStyle w:val="ListBullet"/>
        <w:spacing w:before="0" w:after="22" w:line="280" w:lineRule="exact"/>
        <w:ind w:left="312" w:hanging="159"/>
        <w:keepLines/>
        <w:snapToGrid w:val="0"/>
      </w:pPr>
      <w:r>
        <w:rPr>
          <w:rFonts w:ascii="Noto Sans CJK SC" w:hAnsi="Noto Sans CJK SC" w:eastAsia="Noto Sans CJK SC"/>
          <w:b w:val="0"/>
          <w:i w:val="0"/>
          <w:color w:val="1F2937"/>
          <w:sz w:val="19"/>
        </w:rPr>
        <w:t>设计角色、场景、道具、镜头和空间关系 Contract，明确输入、输出、约束、负面规则与验收条件，避免模型输出直接成为不可控生产指令。</w:t>
      </w:r>
    </w:p>
    <w:p>
      <w:pPr>
        <w:pStyle w:val="ListBullet"/>
        <w:spacing w:before="0" w:after="22" w:line="280" w:lineRule="exact"/>
        <w:ind w:left="312" w:hanging="159"/>
        <w:keepLines/>
        <w:snapToGrid w:val="0"/>
      </w:pPr>
      <w:r>
        <w:rPr>
          <w:rFonts w:ascii="Noto Sans CJK SC" w:hAnsi="Noto Sans CJK SC" w:eastAsia="Noto Sans CJK SC"/>
          <w:b w:val="0"/>
          <w:i w:val="0"/>
          <w:color w:val="1F2937"/>
          <w:sz w:val="19"/>
        </w:rPr>
        <w:t>建立失败分类、根因定位、最小修复和回归验证机制，针对一致性漂移、解剖错误、镜头语义偏差和跨资产污染形成可复用修复策略。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8220"/>
        <w:gridCol w:w="1871"/>
      </w:tblGrid>
      <w:tr>
        <w:tc>
          <w:tcPr>
            <w:tcW w:type="dxa" w:w="5074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pPr>
              <w:spacing w:before="0" w:after="0" w:line="280" w:lineRule="exact"/>
              <w:keepLines/>
              <w:keepNext/>
              <w:snapToGrid w:val="0"/>
            </w:pPr>
            <w:r>
              <w:rPr>
                <w:rFonts w:ascii="Noto Sans CJK SC" w:hAnsi="Noto Sans CJK SC" w:eastAsia="Noto Sans CJK SC"/>
                <w:b/>
                <w:i w:val="0"/>
                <w:color w:val="1F2937"/>
                <w:sz w:val="20"/>
              </w:rPr>
              <w:t>多模型 AI Router</w:t>
            </w:r>
            <w:r>
              <w:rPr>
                <w:rFonts w:ascii="Noto Sans CJK SC" w:hAnsi="Noto Sans CJK SC" w:eastAsia="Noto Sans CJK SC"/>
                <w:b w:val="0"/>
                <w:i w:val="0"/>
                <w:color w:val="5B677A"/>
                <w:sz w:val="17"/>
              </w:rPr>
              <w:t>｜Provider Adapter · Routing · Error Governance</w:t>
            </w:r>
          </w:p>
        </w:tc>
        <w:tc>
          <w:tcPr>
            <w:tcW w:type="dxa" w:w="5074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pPr>
              <w:spacing w:before="0" w:after="0" w:line="280" w:lineRule="exact"/>
              <w:jc w:val="right"/>
              <w:keepLines/>
              <w:keepNext/>
              <w:snapToGrid w:val="0"/>
            </w:pPr>
            <w:r>
              <w:rPr>
                <w:rFonts w:ascii="Noto Sans CJK SC" w:hAnsi="Noto Sans CJK SC" w:eastAsia="Noto Sans CJK SC"/>
                <w:b/>
                <w:i w:val="0"/>
                <w:color w:val="2563EB"/>
                <w:sz w:val="17"/>
              </w:rPr>
              <w:t>持续开发</w:t>
            </w:r>
          </w:p>
        </w:tc>
      </w:tr>
    </w:tbl>
    <w:p>
      <w:pPr>
        <w:pStyle w:val="ListBullet"/>
        <w:spacing w:before="0" w:after="22" w:line="280" w:lineRule="exact"/>
        <w:ind w:left="312" w:hanging="159"/>
        <w:keepLines/>
        <w:snapToGrid w:val="0"/>
      </w:pPr>
      <w:r>
        <w:rPr>
          <w:rFonts w:ascii="Noto Sans CJK SC" w:hAnsi="Noto Sans CJK SC" w:eastAsia="Noto Sans CJK SC"/>
          <w:b w:val="0"/>
          <w:i w:val="0"/>
          <w:color w:val="1F2937"/>
          <w:sz w:val="19"/>
        </w:rPr>
        <w:t>设计统一模型调用边界，通过 Model Registry、Provider Adapter 和标准请求 / 响应结构隔离业务层与第三方供应商差异。</w:t>
      </w:r>
    </w:p>
    <w:p>
      <w:pPr>
        <w:pStyle w:val="ListBullet"/>
        <w:spacing w:before="0" w:after="22" w:line="280" w:lineRule="exact"/>
        <w:ind w:left="312" w:hanging="159"/>
        <w:keepLines/>
        <w:snapToGrid w:val="0"/>
      </w:pPr>
      <w:r>
        <w:rPr>
          <w:rFonts w:ascii="Noto Sans CJK SC" w:hAnsi="Noto Sans CJK SC" w:eastAsia="Noto Sans CJK SC"/>
          <w:b w:val="0"/>
          <w:i w:val="0"/>
          <w:color w:val="1F2937"/>
          <w:sz w:val="19"/>
        </w:rPr>
        <w:t>规划模型选择、超时、重试、降级、错误分类和调用记录机制，减少供应商切换对业务逻辑的侵入，并为成本与质量分析保留可观测数据。</w:t>
      </w:r>
    </w:p>
    <w:p>
      <w:pPr>
        <w:pStyle w:val="ListBullet"/>
        <w:spacing w:before="0" w:after="22" w:line="280" w:lineRule="exact"/>
        <w:ind w:left="312" w:hanging="159"/>
        <w:keepLines/>
        <w:snapToGrid w:val="0"/>
      </w:pPr>
      <w:r>
        <w:rPr>
          <w:rFonts w:ascii="Noto Sans CJK SC" w:hAnsi="Noto Sans CJK SC" w:eastAsia="Noto Sans CJK SC"/>
          <w:b w:val="0"/>
          <w:i w:val="0"/>
          <w:color w:val="1F2937"/>
          <w:sz w:val="19"/>
        </w:rPr>
        <w:t>面向文本、图像、视频和语音能力统一接入，保持鉴权、参数校验、文件处理与结果归档的产品语义一致。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8220"/>
        <w:gridCol w:w="1871"/>
      </w:tblGrid>
      <w:tr>
        <w:tc>
          <w:tcPr>
            <w:tcW w:type="dxa" w:w="5074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pPr>
              <w:spacing w:before="0" w:after="0" w:line="280" w:lineRule="exact"/>
              <w:keepLines/>
              <w:keepNext/>
              <w:snapToGrid w:val="0"/>
            </w:pPr>
            <w:r>
              <w:rPr>
                <w:rFonts w:ascii="Noto Sans CJK SC" w:hAnsi="Noto Sans CJK SC" w:eastAsia="Noto Sans CJK SC"/>
                <w:b/>
                <w:i w:val="0"/>
                <w:color w:val="1F2937"/>
                <w:sz w:val="20"/>
              </w:rPr>
              <w:t>Zephael Quant Career Edition</w:t>
            </w:r>
            <w:r>
              <w:rPr>
                <w:rFonts w:ascii="Noto Sans CJK SC" w:hAnsi="Noto Sans CJK SC" w:eastAsia="Noto Sans CJK SC"/>
                <w:b w:val="0"/>
                <w:i w:val="0"/>
                <w:color w:val="5B677A"/>
                <w:sz w:val="17"/>
              </w:rPr>
              <w:t>｜Agent Tool Use · Backtesting · Trace · Evaluation</w:t>
            </w:r>
          </w:p>
        </w:tc>
        <w:tc>
          <w:tcPr>
            <w:tcW w:type="dxa" w:w="5074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pPr>
              <w:spacing w:before="0" w:after="0" w:line="280" w:lineRule="exact"/>
              <w:jc w:val="right"/>
              <w:keepLines/>
              <w:keepNext/>
              <w:snapToGrid w:val="0"/>
            </w:pPr>
            <w:r>
              <w:rPr>
                <w:rFonts w:ascii="Noto Sans CJK SC" w:hAnsi="Noto Sans CJK SC" w:eastAsia="Noto Sans CJK SC"/>
                <w:b/>
                <w:i w:val="0"/>
                <w:color w:val="2563EB"/>
                <w:sz w:val="17"/>
              </w:rPr>
              <w:t>个人在研</w:t>
            </w:r>
          </w:p>
        </w:tc>
      </w:tr>
    </w:tbl>
    <w:p>
      <w:pPr>
        <w:pStyle w:val="ListBullet"/>
        <w:spacing w:before="0" w:after="22" w:line="280" w:lineRule="exact"/>
        <w:ind w:left="312" w:hanging="159"/>
        <w:keepLines/>
        <w:snapToGrid w:val="0"/>
      </w:pPr>
      <w:r>
        <w:rPr>
          <w:rFonts w:ascii="Noto Sans CJK SC" w:hAnsi="Noto Sans CJK SC" w:eastAsia="Noto Sans CJK SC"/>
          <w:b w:val="0"/>
          <w:i w:val="0"/>
          <w:color w:val="1F2937"/>
          <w:sz w:val="19"/>
        </w:rPr>
        <w:t>将自然语言研究需求转换为受约束的策略 Schema，通过确定性工具完成数据获取、参数校验、历史回测、风险指标计算和研究报告生成。</w:t>
      </w:r>
    </w:p>
    <w:p>
      <w:pPr>
        <w:pStyle w:val="ListBullet"/>
        <w:spacing w:before="0" w:after="22" w:line="280" w:lineRule="exact"/>
        <w:ind w:left="312" w:hanging="159"/>
        <w:keepLines/>
        <w:snapToGrid w:val="0"/>
      </w:pPr>
      <w:r>
        <w:rPr>
          <w:rFonts w:ascii="Noto Sans CJK SC" w:hAnsi="Noto Sans CJK SC" w:eastAsia="Noto Sans CJK SC"/>
          <w:b w:val="0"/>
          <w:i w:val="0"/>
          <w:color w:val="1F2937"/>
          <w:sz w:val="19"/>
        </w:rPr>
        <w:t>设计 Agent Trace 与评测中心，记录意图解析、工具参数、执行耗时、错误重试和结果版本，并覆盖非法输入、空数据、无交易和未来数据泄漏等测试场景。</w:t>
      </w:r>
    </w:p>
    <w:p>
      <w:pPr>
        <w:pStyle w:val="ListBullet"/>
        <w:spacing w:before="0" w:after="22" w:line="280" w:lineRule="exact"/>
        <w:ind w:left="312" w:hanging="159"/>
        <w:keepLines/>
        <w:snapToGrid w:val="0"/>
      </w:pPr>
      <w:r>
        <w:rPr>
          <w:rFonts w:ascii="Noto Sans CJK SC" w:hAnsi="Noto Sans CJK SC" w:eastAsia="Noto Sans CJK SC"/>
          <w:b w:val="0"/>
          <w:i w:val="0"/>
          <w:color w:val="1F2937"/>
          <w:sz w:val="19"/>
        </w:rPr>
        <w:t>明确风险边界：模型输出仅用于研究辅助，不直接执行实盘交易；涉及资金或不可逆操作时保留人工确认。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8220"/>
        <w:gridCol w:w="1871"/>
      </w:tblGrid>
      <w:tr>
        <w:tc>
          <w:tcPr>
            <w:tcW w:type="dxa" w:w="5074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pPr>
              <w:spacing w:before="0" w:after="0" w:line="280" w:lineRule="exact"/>
              <w:keepLines/>
              <w:keepNext/>
              <w:snapToGrid w:val="0"/>
            </w:pPr>
            <w:r>
              <w:rPr>
                <w:rFonts w:ascii="Noto Sans CJK SC" w:hAnsi="Noto Sans CJK SC" w:eastAsia="Noto Sans CJK SC"/>
                <w:b/>
                <w:i w:val="0"/>
                <w:color w:val="1F2937"/>
                <w:sz w:val="20"/>
              </w:rPr>
              <w:t>楚灵汐数字角色与影视资产流水线</w:t>
            </w:r>
            <w:r>
              <w:rPr>
                <w:rFonts w:ascii="Noto Sans CJK SC" w:hAnsi="Noto Sans CJK SC" w:eastAsia="Noto Sans CJK SC"/>
                <w:b w:val="0"/>
                <w:i w:val="0"/>
                <w:color w:val="5B677A"/>
                <w:sz w:val="17"/>
              </w:rPr>
              <w:t>｜Character Consistency · Asset Pipeline · Shot Contract</w:t>
            </w:r>
          </w:p>
        </w:tc>
        <w:tc>
          <w:tcPr>
            <w:tcW w:type="dxa" w:w="5074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pPr>
              <w:spacing w:before="0" w:after="0" w:line="280" w:lineRule="exact"/>
              <w:jc w:val="right"/>
              <w:keepLines/>
              <w:keepNext/>
              <w:snapToGrid w:val="0"/>
            </w:pPr>
            <w:r>
              <w:rPr>
                <w:rFonts w:ascii="Noto Sans CJK SC" w:hAnsi="Noto Sans CJK SC" w:eastAsia="Noto Sans CJK SC"/>
                <w:b/>
                <w:i w:val="0"/>
                <w:color w:val="2563EB"/>
                <w:sz w:val="17"/>
              </w:rPr>
              <w:t>真实创作案例</w:t>
            </w:r>
          </w:p>
        </w:tc>
      </w:tr>
    </w:tbl>
    <w:p>
      <w:pPr>
        <w:pStyle w:val="ListBullet"/>
        <w:spacing w:before="0" w:after="22" w:line="280" w:lineRule="exact"/>
        <w:ind w:left="312" w:hanging="159"/>
        <w:keepLines/>
        <w:snapToGrid w:val="0"/>
      </w:pPr>
      <w:r>
        <w:rPr>
          <w:rFonts w:ascii="Noto Sans CJK SC" w:hAnsi="Noto Sans CJK SC" w:eastAsia="Noto Sans CJK SC"/>
          <w:b w:val="0"/>
          <w:i w:val="0"/>
          <w:color w:val="1F2937"/>
          <w:sz w:val="19"/>
        </w:rPr>
        <w:t>围绕数字角色“来到现实”的概念预告，建立面部、发型、泪痣、耳坠、服装、手部、道具和空间位置等一致性锚点。</w:t>
      </w:r>
    </w:p>
    <w:p>
      <w:pPr>
        <w:pStyle w:val="ListBullet"/>
        <w:spacing w:before="0" w:after="22" w:line="280" w:lineRule="exact"/>
        <w:ind w:left="312" w:hanging="159"/>
        <w:keepLines/>
        <w:snapToGrid w:val="0"/>
      </w:pPr>
      <w:r>
        <w:rPr>
          <w:rFonts w:ascii="Noto Sans CJK SC" w:hAnsi="Noto Sans CJK SC" w:eastAsia="Noto Sans CJK SC"/>
          <w:b w:val="0"/>
          <w:i w:val="0"/>
          <w:color w:val="1F2937"/>
          <w:sz w:val="19"/>
        </w:rPr>
        <w:t>采用“母版设定稿 → 细节资产 → 镜头 Contract → 生成 → 验收”的流水线，分离人物、场景和道具资产，降低多轮生成中的身份漂移与跨资产污染。</w:t>
      </w:r>
    </w:p>
    <w:p>
      <w:pPr>
        <w:spacing w:before="120" w:after="60" w:line="280" w:lineRule="exact"/>
        <w:keepLines/>
        <w:keepNext/>
        <w:pBdr>
          <w:bottom w:val="single" w:sz="8" w:space="3" w:color="2563EB"/>
        </w:pBdr>
        <w:snapToGrid w:val="0"/>
      </w:pPr>
      <w:r>
        <w:rPr>
          <w:rFonts w:ascii="Noto Sans CJK SC" w:hAnsi="Noto Sans CJK SC" w:eastAsia="Noto Sans CJK SC"/>
          <w:b/>
          <w:i w:val="0"/>
          <w:color w:val="183153"/>
          <w:sz w:val="23"/>
        </w:rPr>
        <w:t>其他经历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383"/>
        <w:gridCol w:w="3383"/>
        <w:gridCol w:w="3383"/>
      </w:tblGrid>
      <w:tr>
        <w:tc>
          <w:tcPr>
            <w:tcW w:type="dxa" w:w="4082"/>
            <w:tcMar>
              <w:top w:w="10" w:type="dxa"/>
              <w:start w:w="0" w:type="dxa"/>
              <w:bottom w:w="10" w:type="dxa"/>
              <w:end w:w="0" w:type="dxa"/>
            </w:tcMar>
          </w:tcPr>
          <w:p>
            <w:pPr>
              <w:spacing w:before="0" w:after="0" w:line="280" w:lineRule="exact"/>
              <w:jc w:val="left"/>
              <w:keepLines/>
              <w:snapToGrid w:val="0"/>
            </w:pPr>
            <w:r>
              <w:rPr>
                <w:rFonts w:ascii="Noto Sans CJK SC" w:hAnsi="Noto Sans CJK SC" w:eastAsia="Noto Sans CJK SC"/>
                <w:b/>
                <w:i w:val="0"/>
                <w:color w:val="1F2937"/>
                <w:sz w:val="18"/>
              </w:rPr>
              <w:t>无忧娱乐传媒有限公司</w:t>
            </w:r>
          </w:p>
        </w:tc>
        <w:tc>
          <w:tcPr>
            <w:tcW w:type="dxa" w:w="3855"/>
            <w:tcMar>
              <w:top w:w="10" w:type="dxa"/>
              <w:start w:w="0" w:type="dxa"/>
              <w:bottom w:w="10" w:type="dxa"/>
              <w:end w:w="0" w:type="dxa"/>
            </w:tcMar>
          </w:tcPr>
          <w:p>
            <w:pPr>
              <w:spacing w:before="0" w:after="0" w:line="280" w:lineRule="exact"/>
              <w:jc w:val="left"/>
              <w:keepLines/>
              <w:snapToGrid w:val="0"/>
            </w:pPr>
            <w:r>
              <w:rPr>
                <w:rFonts w:ascii="Noto Sans CJK SC" w:hAnsi="Noto Sans CJK SC" w:eastAsia="Noto Sans CJK SC"/>
                <w:b w:val="0"/>
                <w:i w:val="0"/>
                <w:color w:val="5B677A"/>
                <w:sz w:val="18"/>
              </w:rPr>
              <w:t>娱乐主播｜抖音聊天互动</w:t>
            </w:r>
          </w:p>
        </w:tc>
        <w:tc>
          <w:tcPr>
            <w:tcW w:type="dxa" w:w="2154"/>
            <w:tcMar>
              <w:top w:w="10" w:type="dxa"/>
              <w:start w:w="0" w:type="dxa"/>
              <w:bottom w:w="10" w:type="dxa"/>
              <w:end w:w="0" w:type="dxa"/>
            </w:tcMar>
          </w:tcPr>
          <w:p>
            <w:pPr>
              <w:spacing w:before="0" w:after="0" w:line="280" w:lineRule="exact"/>
              <w:jc w:val="right"/>
              <w:keepLines/>
              <w:snapToGrid w:val="0"/>
            </w:pPr>
            <w:r>
              <w:rPr>
                <w:rFonts w:ascii="Noto Sans CJK SC" w:hAnsi="Noto Sans CJK SC" w:eastAsia="Noto Sans CJK SC"/>
                <w:b w:val="0"/>
                <w:i w:val="0"/>
                <w:color w:val="1F2937"/>
                <w:sz w:val="18"/>
              </w:rPr>
              <w:t>2025.06 - 2025.12</w:t>
            </w:r>
          </w:p>
        </w:tc>
      </w:tr>
    </w:tbl>
    <w:p>
      <w:pPr>
        <w:pStyle w:val="ListBullet"/>
        <w:spacing w:before="0" w:after="22" w:line="280" w:lineRule="exact"/>
        <w:ind w:left="312" w:hanging="159"/>
        <w:keepLines/>
        <w:snapToGrid w:val="0"/>
      </w:pPr>
      <w:r>
        <w:rPr>
          <w:rFonts w:ascii="Noto Sans CJK SC" w:hAnsi="Noto Sans CJK SC" w:eastAsia="Noto Sans CJK SC"/>
          <w:b w:val="0"/>
          <w:i w:val="0"/>
          <w:color w:val="1F2937"/>
          <w:sz w:val="18"/>
        </w:rPr>
        <w:t>负责抖音聊天娱乐类直播的日常开播与出镜，围绕聊天话题组织表达，结合直播氛围把握内容节奏。</w:t>
      </w:r>
    </w:p>
    <w:p>
      <w:pPr>
        <w:pStyle w:val="ListBullet"/>
        <w:spacing w:before="0" w:after="22" w:line="280" w:lineRule="exact"/>
        <w:ind w:left="312" w:hanging="159"/>
        <w:keepLines/>
        <w:snapToGrid w:val="0"/>
      </w:pPr>
      <w:r>
        <w:rPr>
          <w:rFonts w:ascii="Noto Sans CJK SC" w:hAnsi="Noto Sans CJK SC" w:eastAsia="Noto Sans CJK SC"/>
          <w:b w:val="0"/>
          <w:i w:val="0"/>
          <w:color w:val="1F2937"/>
          <w:sz w:val="18"/>
        </w:rPr>
        <w:t>及时回应评论与观众提问，通过话题延展和交流维持互动，针对不同反馈调整表达方式与沟通节奏。</w:t>
      </w:r>
    </w:p>
    <w:p>
      <w:pPr>
        <w:pStyle w:val="ListBullet"/>
        <w:spacing w:before="0" w:after="22" w:line="280" w:lineRule="exact"/>
        <w:ind w:left="312" w:hanging="159"/>
        <w:keepLines/>
        <w:snapToGrid w:val="0"/>
      </w:pPr>
      <w:r>
        <w:rPr>
          <w:rFonts w:ascii="Noto Sans CJK SC" w:hAnsi="Noto Sans CJK SC" w:eastAsia="Noto Sans CJK SC"/>
          <w:b w:val="0"/>
          <w:i w:val="0"/>
          <w:color w:val="1F2937"/>
          <w:sz w:val="18"/>
        </w:rPr>
        <w:t>应对冷场、话题偏离及突发沟通情况，注意表达分寸；结合直播反馈梳理观众关注点，调整后续交流内容。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383"/>
        <w:gridCol w:w="3383"/>
        <w:gridCol w:w="3383"/>
      </w:tblGrid>
      <w:tr>
        <w:tc>
          <w:tcPr>
            <w:tcW w:type="dxa" w:w="4082"/>
            <w:tcMar>
              <w:top w:w="10" w:type="dxa"/>
              <w:start w:w="0" w:type="dxa"/>
              <w:bottom w:w="10" w:type="dxa"/>
              <w:end w:w="0" w:type="dxa"/>
            </w:tcMar>
          </w:tcPr>
          <w:p>
            <w:pPr>
              <w:spacing w:before="0" w:after="0" w:line="280" w:lineRule="exact"/>
              <w:jc w:val="left"/>
              <w:keepLines/>
              <w:snapToGrid w:val="0"/>
            </w:pPr>
            <w:r>
              <w:rPr>
                <w:rFonts w:ascii="Noto Sans CJK SC" w:hAnsi="Noto Sans CJK SC" w:eastAsia="Noto Sans CJK SC"/>
                <w:b/>
                <w:i w:val="0"/>
                <w:color w:val="1F2937"/>
                <w:sz w:val="18"/>
              </w:rPr>
              <w:t>京东信息技术有限公司</w:t>
            </w:r>
          </w:p>
        </w:tc>
        <w:tc>
          <w:tcPr>
            <w:tcW w:type="dxa" w:w="3855"/>
            <w:tcMar>
              <w:top w:w="10" w:type="dxa"/>
              <w:start w:w="0" w:type="dxa"/>
              <w:bottom w:w="10" w:type="dxa"/>
              <w:end w:w="0" w:type="dxa"/>
            </w:tcMar>
          </w:tcPr>
          <w:p>
            <w:pPr>
              <w:spacing w:before="0" w:after="0" w:line="280" w:lineRule="exact"/>
              <w:jc w:val="left"/>
              <w:keepLines/>
              <w:snapToGrid w:val="0"/>
            </w:pPr>
            <w:r>
              <w:rPr>
                <w:rFonts w:ascii="Noto Sans CJK SC" w:hAnsi="Noto Sans CJK SC" w:eastAsia="Noto Sans CJK SC"/>
                <w:b w:val="0"/>
                <w:i w:val="0"/>
                <w:color w:val="5B677A"/>
                <w:sz w:val="18"/>
              </w:rPr>
              <w:t>供应商客服顾问（实习）</w:t>
            </w:r>
          </w:p>
        </w:tc>
        <w:tc>
          <w:tcPr>
            <w:tcW w:type="dxa" w:w="2154"/>
            <w:tcMar>
              <w:top w:w="10" w:type="dxa"/>
              <w:start w:w="0" w:type="dxa"/>
              <w:bottom w:w="10" w:type="dxa"/>
              <w:end w:w="0" w:type="dxa"/>
            </w:tcMar>
          </w:tcPr>
          <w:p>
            <w:pPr>
              <w:spacing w:before="0" w:after="0" w:line="280" w:lineRule="exact"/>
              <w:jc w:val="right"/>
              <w:keepLines/>
              <w:snapToGrid w:val="0"/>
            </w:pPr>
            <w:r>
              <w:rPr>
                <w:rFonts w:ascii="Noto Sans CJK SC" w:hAnsi="Noto Sans CJK SC" w:eastAsia="Noto Sans CJK SC"/>
                <w:b w:val="0"/>
                <w:i w:val="0"/>
                <w:color w:val="1F2937"/>
                <w:sz w:val="18"/>
              </w:rPr>
              <w:t>2024.03 - 2024.09</w:t>
            </w:r>
          </w:p>
        </w:tc>
      </w:tr>
    </w:tbl>
    <w:p>
      <w:pPr>
        <w:pStyle w:val="ListBullet"/>
        <w:spacing w:before="0" w:after="22" w:line="280" w:lineRule="exact"/>
        <w:ind w:left="312" w:hanging="159"/>
        <w:keepLines/>
        <w:snapToGrid w:val="0"/>
      </w:pPr>
      <w:r>
        <w:rPr>
          <w:rFonts w:ascii="Noto Sans CJK SC" w:hAnsi="Noto Sans CJK SC" w:eastAsia="Noto Sans CJK SC"/>
          <w:b w:val="0"/>
          <w:i w:val="0"/>
          <w:color w:val="1F2937"/>
          <w:sz w:val="18"/>
        </w:rPr>
        <w:t>面向供应商与商家受理业务咨询，梳理具体诉求，依据平台规则说明处理流程，记录问题背景、关键资料与沟通情况。</w:t>
      </w:r>
    </w:p>
    <w:p>
      <w:pPr>
        <w:pStyle w:val="ListBullet"/>
        <w:spacing w:before="0" w:after="22" w:line="280" w:lineRule="exact"/>
        <w:ind w:left="312" w:hanging="159"/>
        <w:keepLines/>
        <w:snapToGrid w:val="0"/>
      </w:pPr>
      <w:r>
        <w:rPr>
          <w:rFonts w:ascii="Noto Sans CJK SC" w:hAnsi="Noto Sans CJK SC" w:eastAsia="Noto Sans CJK SC"/>
          <w:b w:val="0"/>
          <w:i w:val="0"/>
          <w:color w:val="1F2937"/>
          <w:sz w:val="18"/>
        </w:rPr>
        <w:t>对无法即时解决或需要协同的问题，整理信息并提交相关业务部门，跟踪处理进度，向供应商与商家反馈处理结果。</w:t>
      </w:r>
    </w:p>
    <w:p>
      <w:pPr>
        <w:pStyle w:val="ListBullet"/>
        <w:spacing w:before="0" w:after="22" w:line="280" w:lineRule="exact"/>
        <w:ind w:left="312" w:hanging="159"/>
        <w:keepLines/>
        <w:snapToGrid w:val="0"/>
      </w:pPr>
      <w:r>
        <w:rPr>
          <w:rFonts w:ascii="Noto Sans CJK SC" w:hAnsi="Noto Sans CJK SC" w:eastAsia="Noto Sans CJK SC"/>
          <w:b w:val="0"/>
          <w:i w:val="0"/>
          <w:color w:val="1F2937"/>
          <w:sz w:val="18"/>
        </w:rPr>
        <w:t>收集常见问题与服务建议，归纳咨询中的共性情况并反馈团队，为业务答疑和服务流程改进提供参考。</w:t>
      </w:r>
    </w:p>
    <w:p>
      <w:pPr>
        <w:spacing w:before="120" w:after="60" w:line="280" w:lineRule="exact"/>
        <w:keepLines/>
        <w:keepNext/>
        <w:pBdr>
          <w:bottom w:val="single" w:sz="8" w:space="3" w:color="2563EB"/>
        </w:pBdr>
        <w:snapToGrid w:val="0"/>
      </w:pPr>
      <w:r>
        <w:rPr>
          <w:rFonts w:ascii="Noto Sans CJK SC" w:hAnsi="Noto Sans CJK SC" w:eastAsia="Noto Sans CJK SC"/>
          <w:b/>
          <w:i w:val="0"/>
          <w:color w:val="183153"/>
          <w:sz w:val="23"/>
        </w:rPr>
        <w:t>建筑工程实践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8220"/>
        <w:gridCol w:w="1871"/>
      </w:tblGrid>
      <w:tr>
        <w:tc>
          <w:tcPr>
            <w:tcW w:type="dxa" w:w="5074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pPr>
              <w:spacing w:before="0" w:after="0" w:line="280" w:lineRule="exact"/>
              <w:keepLines/>
              <w:keepNext/>
              <w:snapToGrid w:val="0"/>
            </w:pPr>
            <w:r>
              <w:rPr>
                <w:rFonts w:ascii="Noto Sans CJK SC" w:hAnsi="Noto Sans CJK SC" w:eastAsia="Noto Sans CJK SC"/>
                <w:b/>
                <w:i w:val="0"/>
                <w:color w:val="1F2937"/>
                <w:sz w:val="20"/>
              </w:rPr>
              <w:t>钢结构模型与施工模拟</w:t>
            </w:r>
            <w:r>
              <w:rPr>
                <w:rFonts w:ascii="Noto Sans CJK SC" w:hAnsi="Noto Sans CJK SC" w:eastAsia="Noto Sans CJK SC"/>
                <w:b w:val="0"/>
                <w:i w:val="0"/>
                <w:color w:val="5B677A"/>
                <w:sz w:val="17"/>
              </w:rPr>
              <w:t>｜Tekla Structures · 工程识图 · 施工模拟</w:t>
            </w:r>
          </w:p>
        </w:tc>
        <w:tc>
          <w:tcPr>
            <w:tcW w:type="dxa" w:w="5074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pPr>
              <w:spacing w:before="0" w:after="0" w:line="280" w:lineRule="exact"/>
              <w:jc w:val="right"/>
              <w:keepLines/>
              <w:keepNext/>
              <w:snapToGrid w:val="0"/>
            </w:pPr>
            <w:r>
              <w:rPr>
                <w:rFonts w:ascii="Noto Sans CJK SC" w:hAnsi="Noto Sans CJK SC" w:eastAsia="Noto Sans CJK SC"/>
                <w:b/>
                <w:i w:val="0"/>
                <w:color w:val="2563EB"/>
                <w:sz w:val="17"/>
              </w:rPr>
              <w:t>专业实践</w:t>
            </w:r>
          </w:p>
        </w:tc>
      </w:tr>
    </w:tbl>
    <w:p>
      <w:pPr>
        <w:pStyle w:val="ListBullet"/>
        <w:spacing w:before="0" w:after="22" w:line="280" w:lineRule="exact"/>
        <w:ind w:left="312" w:hanging="159"/>
        <w:keepLines/>
        <w:snapToGrid w:val="0"/>
      </w:pPr>
      <w:r>
        <w:rPr>
          <w:rFonts w:ascii="Noto Sans CJK SC" w:hAnsi="Noto Sans CJK SC" w:eastAsia="Noto Sans CJK SC"/>
          <w:b w:val="0"/>
          <w:i w:val="0"/>
          <w:color w:val="1F2937"/>
          <w:sz w:val="18"/>
        </w:rPr>
        <w:t>根据实际厂房图纸使用 Tekla Structures 完成 1:1 三维结构建模，导出构件清单及安装图纸，并模拟钢结构吊装流程与吊点位置。</w:t>
      </w:r>
    </w:p>
    <w:p>
      <w:pPr>
        <w:pStyle w:val="ListBullet"/>
        <w:spacing w:before="0" w:after="22" w:line="280" w:lineRule="exact"/>
        <w:ind w:left="312" w:hanging="159"/>
        <w:keepLines/>
        <w:snapToGrid w:val="0"/>
      </w:pPr>
      <w:r>
        <w:rPr>
          <w:rFonts w:ascii="Noto Sans CJK SC" w:hAnsi="Noto Sans CJK SC" w:eastAsia="Noto Sans CJK SC"/>
          <w:b w:val="0"/>
          <w:i w:val="0"/>
          <w:color w:val="1F2937"/>
          <w:sz w:val="18"/>
        </w:rPr>
        <w:t>在实训基地参与施工放线、预埋件定位复测、材料进场验收和施工记录整理，形成按规范执行、校验和留痕的工程习惯。</w:t>
      </w:r>
    </w:p>
    <w:p>
      <w:pPr>
        <w:spacing w:before="120" w:after="60" w:line="280" w:lineRule="exact"/>
        <w:keepLines/>
        <w:keepNext/>
        <w:pBdr>
          <w:bottom w:val="single" w:sz="8" w:space="3" w:color="2563EB"/>
        </w:pBdr>
        <w:snapToGrid w:val="0"/>
      </w:pPr>
      <w:r>
        <w:rPr>
          <w:rFonts w:ascii="Noto Sans CJK SC" w:hAnsi="Noto Sans CJK SC" w:eastAsia="Noto Sans CJK SC"/>
          <w:b/>
          <w:i w:val="0"/>
          <w:color w:val="183153"/>
          <w:sz w:val="23"/>
        </w:rPr>
        <w:t>专业背景与证书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383"/>
        <w:gridCol w:w="3383"/>
        <w:gridCol w:w="3383"/>
      </w:tblGrid>
      <w:tr>
        <w:tc>
          <w:tcPr>
            <w:tcW w:type="dxa" w:w="4082"/>
            <w:tcMar>
              <w:top w:w="10" w:type="dxa"/>
              <w:start w:w="0" w:type="dxa"/>
              <w:bottom w:w="10" w:type="dxa"/>
              <w:end w:w="0" w:type="dxa"/>
            </w:tcMar>
          </w:tcPr>
          <w:p>
            <w:pPr>
              <w:spacing w:before="0" w:after="0" w:line="280" w:lineRule="exact"/>
              <w:jc w:val="left"/>
              <w:keepLines/>
              <w:snapToGrid w:val="0"/>
            </w:pPr>
            <w:r>
              <w:rPr>
                <w:rFonts w:ascii="Noto Sans CJK SC" w:hAnsi="Noto Sans CJK SC" w:eastAsia="Noto Sans CJK SC"/>
                <w:b/>
                <w:i w:val="0"/>
                <w:color w:val="1F2937"/>
                <w:sz w:val="18"/>
              </w:rPr>
              <w:t>建筑专业</w:t>
            </w:r>
          </w:p>
        </w:tc>
        <w:tc>
          <w:tcPr>
            <w:tcW w:type="dxa" w:w="3855"/>
            <w:tcMar>
              <w:top w:w="10" w:type="dxa"/>
              <w:start w:w="0" w:type="dxa"/>
              <w:bottom w:w="10" w:type="dxa"/>
              <w:end w:w="0" w:type="dxa"/>
            </w:tcMar>
          </w:tcPr>
          <w:p>
            <w:pPr>
              <w:spacing w:before="0" w:after="0" w:line="280" w:lineRule="exact"/>
              <w:jc w:val="left"/>
              <w:keepLines/>
              <w:snapToGrid w:val="0"/>
            </w:pPr>
            <w:r>
              <w:rPr>
                <w:rFonts w:ascii="Noto Sans CJK SC" w:hAnsi="Noto Sans CJK SC" w:eastAsia="Noto Sans CJK SC"/>
                <w:b w:val="0"/>
                <w:i w:val="0"/>
                <w:color w:val="5B677A"/>
                <w:sz w:val="18"/>
              </w:rPr>
              <w:t>钢结构工程技术</w:t>
            </w:r>
          </w:p>
        </w:tc>
        <w:tc>
          <w:tcPr>
            <w:tcW w:type="dxa" w:w="2154"/>
            <w:tcMar>
              <w:top w:w="10" w:type="dxa"/>
              <w:start w:w="0" w:type="dxa"/>
              <w:bottom w:w="10" w:type="dxa"/>
              <w:end w:w="0" w:type="dxa"/>
            </w:tcMar>
          </w:tcPr>
          <w:p>
            <w:pPr>
              <w:spacing w:before="0" w:after="0" w:line="280" w:lineRule="exact"/>
              <w:jc w:val="right"/>
              <w:keepLines/>
              <w:snapToGrid w:val="0"/>
            </w:pPr>
            <w:r>
              <w:rPr>
                <w:rFonts w:ascii="Noto Sans CJK SC" w:hAnsi="Noto Sans CJK SC" w:eastAsia="Noto Sans CJK SC"/>
                <w:b w:val="0"/>
                <w:i w:val="0"/>
                <w:color w:val="1F2937"/>
                <w:sz w:val="18"/>
              </w:rPr>
              <w:t>2021.09 - 2024.06</w:t>
            </w:r>
          </w:p>
        </w:tc>
      </w:tr>
    </w:tbl>
    <w:p>
      <w:pPr>
        <w:pStyle w:val="ListBullet"/>
        <w:spacing w:before="0" w:after="22" w:line="280" w:lineRule="exact"/>
        <w:ind w:left="312" w:hanging="159"/>
        <w:keepLines/>
        <w:snapToGrid w:val="0"/>
      </w:pPr>
      <w:r>
        <w:rPr>
          <w:rFonts w:ascii="Noto Sans CJK SC" w:hAnsi="Noto Sans CJK SC" w:eastAsia="Noto Sans CJK SC"/>
          <w:b w:val="0"/>
          <w:i w:val="0"/>
          <w:color w:val="1F2937"/>
          <w:sz w:val="18"/>
        </w:rPr>
        <w:t>相关训练：钢结构识图与制图、Tekla 结构建模、施工技术、工程测量、质量检测与验收。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383"/>
        <w:gridCol w:w="3383"/>
        <w:gridCol w:w="3383"/>
      </w:tblGrid>
      <w:tr>
        <w:tc>
          <w:tcPr>
            <w:tcW w:type="dxa" w:w="4082"/>
            <w:tcMar>
              <w:top w:w="10" w:type="dxa"/>
              <w:start w:w="0" w:type="dxa"/>
              <w:bottom w:w="10" w:type="dxa"/>
              <w:end w:w="0" w:type="dxa"/>
            </w:tcMar>
          </w:tcPr>
          <w:p>
            <w:pPr>
              <w:spacing w:before="0" w:after="0" w:line="280" w:lineRule="exact"/>
              <w:jc w:val="left"/>
              <w:keepLines/>
              <w:snapToGrid w:val="0"/>
            </w:pPr>
            <w:r>
              <w:rPr>
                <w:rFonts w:ascii="Noto Sans CJK SC" w:hAnsi="Noto Sans CJK SC" w:eastAsia="Noto Sans CJK SC"/>
                <w:b/>
                <w:i w:val="0"/>
                <w:color w:val="1F2937"/>
                <w:sz w:val="18"/>
              </w:rPr>
              <w:t>普通话水平测试</w:t>
            </w:r>
          </w:p>
        </w:tc>
        <w:tc>
          <w:tcPr>
            <w:tcW w:type="dxa" w:w="3855"/>
            <w:tcMar>
              <w:top w:w="10" w:type="dxa"/>
              <w:start w:w="0" w:type="dxa"/>
              <w:bottom w:w="10" w:type="dxa"/>
              <w:end w:w="0" w:type="dxa"/>
            </w:tcMar>
          </w:tcPr>
          <w:p>
            <w:pPr>
              <w:spacing w:before="0" w:after="0" w:line="280" w:lineRule="exact"/>
              <w:jc w:val="left"/>
              <w:keepLines/>
              <w:snapToGrid w:val="0"/>
            </w:pPr>
            <w:r>
              <w:rPr>
                <w:rFonts w:ascii="Noto Sans CJK SC" w:hAnsi="Noto Sans CJK SC" w:eastAsia="Noto Sans CJK SC"/>
                <w:b w:val="0"/>
                <w:i w:val="0"/>
                <w:color w:val="5B677A"/>
                <w:sz w:val="18"/>
              </w:rPr>
              <w:t>二级乙等</w:t>
            </w:r>
          </w:p>
        </w:tc>
        <w:tc>
          <w:tcPr>
            <w:tcW w:type="dxa" w:w="2154"/>
            <w:tcMar>
              <w:top w:w="10" w:type="dxa"/>
              <w:start w:w="0" w:type="dxa"/>
              <w:bottom w:w="10" w:type="dxa"/>
              <w:end w:w="0" w:type="dxa"/>
            </w:tcMar>
          </w:tcPr>
          <w:p>
            <w:pPr>
              <w:spacing w:before="0" w:after="0" w:line="280" w:lineRule="exact"/>
              <w:jc w:val="right"/>
              <w:keepLines/>
              <w:snapToGrid w:val="0"/>
            </w:pPr>
            <w:r>
              <w:rPr>
                <w:rFonts w:ascii="Noto Sans CJK SC" w:hAnsi="Noto Sans CJK SC" w:eastAsia="Noto Sans CJK SC"/>
                <w:b w:val="0"/>
                <w:i w:val="0"/>
                <w:color w:val="1F2937"/>
                <w:sz w:val="18"/>
              </w:rPr>
            </w:r>
          </w:p>
        </w:tc>
      </w:tr>
    </w:tbl>
    <w:p>
      <w:pPr>
        <w:spacing w:before="120" w:after="60" w:line="280" w:lineRule="exact"/>
        <w:keepLines/>
        <w:keepNext/>
        <w:pBdr>
          <w:bottom w:val="single" w:sz="8" w:space="3" w:color="2563EB"/>
        </w:pBdr>
        <w:snapToGrid w:val="0"/>
      </w:pPr>
      <w:r>
        <w:rPr>
          <w:rFonts w:ascii="Noto Sans CJK SC" w:hAnsi="Noto Sans CJK SC" w:eastAsia="Noto Sans CJK SC"/>
          <w:b/>
          <w:i w:val="0"/>
          <w:color w:val="183153"/>
          <w:sz w:val="23"/>
        </w:rPr>
        <w:t>求职定位与补充说明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701"/>
        <w:gridCol w:w="8391"/>
      </w:tblGrid>
      <w:tr>
        <w:tc>
          <w:tcPr>
            <w:tcW w:type="dxa" w:w="5074"/>
            <w:tcMar>
              <w:top w:w="20" w:type="dxa"/>
              <w:start w:w="0" w:type="dxa"/>
              <w:bottom w:w="20" w:type="dxa"/>
              <w:end w:w="0" w:type="dxa"/>
            </w:tcMar>
          </w:tcPr>
          <w:p>
            <w:pPr>
              <w:spacing w:before="0" w:after="0" w:line="280" w:lineRule="exact"/>
              <w:keepLines/>
              <w:snapToGrid w:val="0"/>
            </w:pPr>
            <w:r>
              <w:rPr>
                <w:rFonts w:ascii="Noto Sans CJK SC" w:hAnsi="Noto Sans CJK SC" w:eastAsia="Noto Sans CJK SC"/>
                <w:b/>
                <w:i w:val="0"/>
                <w:color w:val="183153"/>
                <w:sz w:val="18"/>
              </w:rPr>
              <w:t>目标岗位</w:t>
            </w:r>
          </w:p>
        </w:tc>
        <w:tc>
          <w:tcPr>
            <w:tcW w:type="dxa" w:w="5074"/>
            <w:tcMar>
              <w:top w:w="20" w:type="dxa"/>
              <w:start w:w="0" w:type="dxa"/>
              <w:bottom w:w="20" w:type="dxa"/>
              <w:end w:w="0" w:type="dxa"/>
            </w:tcMar>
          </w:tcPr>
          <w:p>
            <w:pPr>
              <w:spacing w:before="0" w:after="0" w:line="280" w:lineRule="exact"/>
              <w:keepLines/>
              <w:snapToGrid w:val="0"/>
            </w:pPr>
            <w:r>
              <w:rPr>
                <w:rFonts w:ascii="Noto Sans CJK SC" w:hAnsi="Noto Sans CJK SC" w:eastAsia="Noto Sans CJK SC"/>
                <w:b w:val="0"/>
                <w:i w:val="0"/>
                <w:color w:val="1F2937"/>
                <w:sz w:val="18"/>
              </w:rPr>
              <w:t>AI 原生全栈工程师、AI Agent 应用开发工程师、LLM 应用开发工程师、AI 平台 / 研发效能工程师。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701"/>
        <w:gridCol w:w="8391"/>
      </w:tblGrid>
      <w:tr>
        <w:tc>
          <w:tcPr>
            <w:tcW w:type="dxa" w:w="5074"/>
            <w:tcMar>
              <w:top w:w="20" w:type="dxa"/>
              <w:start w:w="0" w:type="dxa"/>
              <w:bottom w:w="20" w:type="dxa"/>
              <w:end w:w="0" w:type="dxa"/>
            </w:tcMar>
          </w:tcPr>
          <w:p>
            <w:pPr>
              <w:spacing w:before="0" w:after="0" w:line="280" w:lineRule="exact"/>
              <w:keepLines/>
              <w:snapToGrid w:val="0"/>
            </w:pPr>
            <w:r>
              <w:rPr>
                <w:rFonts w:ascii="Noto Sans CJK SC" w:hAnsi="Noto Sans CJK SC" w:eastAsia="Noto Sans CJK SC"/>
                <w:b/>
                <w:i w:val="0"/>
                <w:color w:val="183153"/>
                <w:sz w:val="18"/>
              </w:rPr>
              <w:t>目标城市</w:t>
            </w:r>
          </w:p>
        </w:tc>
        <w:tc>
          <w:tcPr>
            <w:tcW w:type="dxa" w:w="5074"/>
            <w:tcMar>
              <w:top w:w="20" w:type="dxa"/>
              <w:start w:w="0" w:type="dxa"/>
              <w:bottom w:w="20" w:type="dxa"/>
              <w:end w:w="0" w:type="dxa"/>
            </w:tcMar>
          </w:tcPr>
          <w:p>
            <w:pPr>
              <w:spacing w:before="0" w:after="0" w:line="280" w:lineRule="exact"/>
              <w:keepLines/>
              <w:snapToGrid w:val="0"/>
            </w:pPr>
            <w:r>
              <w:rPr>
                <w:rFonts w:ascii="Noto Sans CJK SC" w:hAnsi="Noto Sans CJK SC" w:eastAsia="Noto Sans CJK SC"/>
                <w:b w:val="0"/>
                <w:i w:val="0"/>
                <w:color w:val="1F2937"/>
                <w:sz w:val="18"/>
              </w:rPr>
              <w:t>武汉、杭州、深圳及全国远程；到岗时间协商，期望薪资面议。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701"/>
        <w:gridCol w:w="8391"/>
      </w:tblGrid>
      <w:tr>
        <w:tc>
          <w:tcPr>
            <w:tcW w:type="dxa" w:w="5074"/>
            <w:tcMar>
              <w:top w:w="20" w:type="dxa"/>
              <w:start w:w="0" w:type="dxa"/>
              <w:bottom w:w="20" w:type="dxa"/>
              <w:end w:w="0" w:type="dxa"/>
            </w:tcMar>
          </w:tcPr>
          <w:p>
            <w:pPr>
              <w:spacing w:before="0" w:after="0" w:line="280" w:lineRule="exact"/>
              <w:keepLines/>
              <w:snapToGrid w:val="0"/>
            </w:pPr>
            <w:r>
              <w:rPr>
                <w:rFonts w:ascii="Noto Sans CJK SC" w:hAnsi="Noto Sans CJK SC" w:eastAsia="Noto Sans CJK SC"/>
                <w:b/>
                <w:i w:val="0"/>
                <w:color w:val="183153"/>
                <w:sz w:val="18"/>
              </w:rPr>
              <w:t>材料组合</w:t>
            </w:r>
          </w:p>
        </w:tc>
        <w:tc>
          <w:tcPr>
            <w:tcW w:type="dxa" w:w="5074"/>
            <w:tcMar>
              <w:top w:w="20" w:type="dxa"/>
              <w:start w:w="0" w:type="dxa"/>
              <w:bottom w:w="20" w:type="dxa"/>
              <w:end w:w="0" w:type="dxa"/>
            </w:tcMar>
          </w:tcPr>
          <w:p>
            <w:pPr>
              <w:spacing w:before="0" w:after="0" w:line="280" w:lineRule="exact"/>
              <w:keepLines/>
              <w:snapToGrid w:val="0"/>
            </w:pPr>
            <w:r>
              <w:rPr>
                <w:rFonts w:ascii="Noto Sans CJK SC" w:hAnsi="Noto Sans CJK SC" w:eastAsia="Noto Sans CJK SC"/>
                <w:b w:val="0"/>
                <w:i w:val="0"/>
                <w:color w:val="1F2937"/>
                <w:sz w:val="18"/>
              </w:rPr>
              <w:t>招聘平台上传标准简历；个人网站展示完整项目 Case Study、在线 Demo、架构图、执行 Trace、评测与演示视频。</w:t>
            </w:r>
          </w:p>
        </w:tc>
      </w:tr>
    </w:tbl>
    <w:sectPr>
      <w:footerReference w:type="default" r:id="rId10"/>
      <w:pgSz w:w="11906" w:h="16838"/>
      <w:pgMar w:top="765" w:right="879" w:bottom="709" w:left="879" w:header="283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right"/>
      <w:keepLines/>
    </w:pPr>
    <w:r>
      <w:rPr>
        <w:rFonts w:ascii="Noto Sans CJK SC" w:hAnsi="Noto Sans CJK SC" w:eastAsia="Noto Sans CJK SC"/>
        <w:b w:val="0"/>
        <w:i w:val="0"/>
        <w:color w:val="5B677A"/>
        <w:sz w:val="16"/>
      </w:rPr>
      <w:t xml:space="preserve">程昼野｜AI 原生全栈工程师   </w:t>
    </w:r>
    <w: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0"/>
    </w:pPr>
    <w:rPr>
      <w:rFonts w:ascii="Noto Sans CJK SC" w:hAnsi="Noto Sans CJK SC" w:eastAsia="Noto Sans CJK SC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Noto Sans CJK SC" w:hAnsi="Noto Sans CJK SC" w:eastAsia="Noto Sans CJK SC"/>
      <w:sz w:val="19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zephael.cn/" TargetMode="Externa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程昼野 - AI 原生全栈工程师标准技术简历</dc:title>
  <dc:subject>AI 原生全栈工程师 / AI Agent 应用开发工程师</dc:subject>
  <dc:creator/>
  <cp:keywords>AI Agent, AI Native, Full-Stack, LLM, AIGC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